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C0" w:rsidRDefault="002A3A3F" w:rsidP="002A3A3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A3A3F">
        <w:rPr>
          <w:b/>
          <w:sz w:val="40"/>
          <w:szCs w:val="40"/>
          <w:u w:val="single"/>
        </w:rPr>
        <w:t>The Broward College Academy for Excellence</w:t>
      </w:r>
    </w:p>
    <w:p w:rsidR="000E064C" w:rsidRPr="000E064C" w:rsidRDefault="000E064C" w:rsidP="002A3A3F">
      <w:pPr>
        <w:jc w:val="center"/>
        <w:rPr>
          <w:sz w:val="24"/>
          <w:szCs w:val="24"/>
        </w:rPr>
      </w:pPr>
      <w:r>
        <w:rPr>
          <w:sz w:val="24"/>
          <w:szCs w:val="24"/>
        </w:rPr>
        <w:t>The Broward College Academy for Excellence is a summer bridge program designed for First Time in College students (FTIC) who desire to enter college ea</w:t>
      </w:r>
      <w:r w:rsidR="000B322B">
        <w:rPr>
          <w:sz w:val="24"/>
          <w:szCs w:val="24"/>
        </w:rPr>
        <w:t xml:space="preserve">rly and discover how they learn </w:t>
      </w:r>
      <w:r>
        <w:rPr>
          <w:sz w:val="24"/>
          <w:szCs w:val="24"/>
        </w:rPr>
        <w:t xml:space="preserve">best and learn valuable study and leadership skills in a supportive </w:t>
      </w:r>
      <w:r w:rsidR="00F05FEE">
        <w:rPr>
          <w:sz w:val="24"/>
          <w:szCs w:val="24"/>
        </w:rPr>
        <w:t>environment</w:t>
      </w:r>
      <w:r>
        <w:rPr>
          <w:sz w:val="24"/>
          <w:szCs w:val="24"/>
        </w:rPr>
        <w:t>.</w:t>
      </w:r>
    </w:p>
    <w:p w:rsidR="002A3A3F" w:rsidRPr="008A3A70" w:rsidRDefault="002A3A3F" w:rsidP="002A3A3F">
      <w:pPr>
        <w:jc w:val="center"/>
        <w:rPr>
          <w:b/>
          <w:sz w:val="40"/>
          <w:szCs w:val="40"/>
          <w:u w:val="single"/>
        </w:rPr>
      </w:pPr>
      <w:r w:rsidRPr="008A3A70">
        <w:rPr>
          <w:b/>
          <w:sz w:val="40"/>
          <w:szCs w:val="40"/>
          <w:u w:val="single"/>
        </w:rPr>
        <w:t>Eligibility &amp; Commitment Summary</w:t>
      </w:r>
    </w:p>
    <w:p w:rsidR="002A3A3F" w:rsidRDefault="002A3A3F" w:rsidP="002A3A3F"/>
    <w:p w:rsidR="002A3A3F" w:rsidRPr="002F172A" w:rsidRDefault="002F172A" w:rsidP="002F17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F172A">
        <w:rPr>
          <w:b/>
          <w:sz w:val="28"/>
          <w:szCs w:val="28"/>
        </w:rPr>
        <w:t xml:space="preserve">Eligibility- H.S Graduation in May or June and </w:t>
      </w:r>
      <w:r w:rsidR="002A3A3F" w:rsidRPr="002F172A">
        <w:rPr>
          <w:b/>
          <w:sz w:val="28"/>
          <w:szCs w:val="28"/>
        </w:rPr>
        <w:t xml:space="preserve">Placement into </w:t>
      </w:r>
      <w:r w:rsidR="002A3A3F" w:rsidRPr="00443F3C">
        <w:rPr>
          <w:b/>
          <w:sz w:val="28"/>
          <w:szCs w:val="28"/>
        </w:rPr>
        <w:t>REA 0017</w:t>
      </w:r>
      <w:r w:rsidR="00120B3E" w:rsidRPr="00443F3C">
        <w:rPr>
          <w:b/>
          <w:sz w:val="28"/>
          <w:szCs w:val="28"/>
        </w:rPr>
        <w:t>C</w:t>
      </w:r>
      <w:r w:rsidR="00E71B20">
        <w:rPr>
          <w:sz w:val="28"/>
          <w:szCs w:val="28"/>
        </w:rPr>
        <w:t xml:space="preserve">, </w:t>
      </w:r>
      <w:r w:rsidR="00E71B20" w:rsidRPr="00E71B20">
        <w:rPr>
          <w:b/>
          <w:sz w:val="28"/>
          <w:szCs w:val="28"/>
        </w:rPr>
        <w:t>ENC0015 or ENC0025</w:t>
      </w:r>
    </w:p>
    <w:tbl>
      <w:tblPr>
        <w:tblStyle w:val="LightShading"/>
        <w:tblW w:w="8836" w:type="dxa"/>
        <w:tblLayout w:type="fixed"/>
        <w:tblLook w:val="04A0"/>
      </w:tblPr>
      <w:tblGrid>
        <w:gridCol w:w="236"/>
        <w:gridCol w:w="1175"/>
        <w:gridCol w:w="1758"/>
        <w:gridCol w:w="3257"/>
        <w:gridCol w:w="2174"/>
        <w:gridCol w:w="236"/>
      </w:tblGrid>
      <w:tr w:rsidR="00BF53E3" w:rsidTr="002F172A">
        <w:trPr>
          <w:cnfStyle w:val="100000000000"/>
          <w:trHeight w:val="303"/>
        </w:trPr>
        <w:tc>
          <w:tcPr>
            <w:cnfStyle w:val="001000000000"/>
            <w:tcW w:w="236" w:type="dxa"/>
          </w:tcPr>
          <w:p w:rsidR="00BF53E3" w:rsidRDefault="00BF53E3" w:rsidP="00120B3E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  <w:p w:rsidR="002F172A" w:rsidRDefault="002F172A" w:rsidP="00120B3E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</w:tcPr>
          <w:p w:rsidR="00BF53E3" w:rsidRDefault="00BF53E3" w:rsidP="00120B3E">
            <w:pPr>
              <w:jc w:val="center"/>
              <w:cnfStyle w:val="100000000000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04"/>
            </w:tblGrid>
            <w:tr w:rsidR="00BF53E3" w:rsidTr="00B766E9">
              <w:trPr>
                <w:trHeight w:val="212"/>
              </w:trPr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3E3" w:rsidRDefault="00BF53E3" w:rsidP="00120B3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53E3" w:rsidRDefault="00BF53E3" w:rsidP="00120B3E">
            <w:pPr>
              <w:jc w:val="center"/>
              <w:cnfStyle w:val="100000000000"/>
              <w:rPr>
                <w:b w:val="0"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3257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91"/>
            </w:tblGrid>
            <w:tr w:rsidR="00BF53E3" w:rsidTr="00B766E9">
              <w:trPr>
                <w:trHeight w:val="76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3E3" w:rsidRDefault="00BF53E3" w:rsidP="00120B3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F53E3" w:rsidRDefault="00BF53E3" w:rsidP="00120B3E">
            <w:pPr>
              <w:jc w:val="center"/>
              <w:cnfStyle w:val="100000000000"/>
              <w:rPr>
                <w:b w:val="0"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READING</w:t>
            </w:r>
          </w:p>
          <w:p w:rsidR="00BF53E3" w:rsidRDefault="00BF53E3" w:rsidP="00120B3E">
            <w:pPr>
              <w:jc w:val="center"/>
              <w:cnfStyle w:val="100000000000"/>
              <w:rPr>
                <w:b w:val="0"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(REA0017C)</w:t>
            </w:r>
          </w:p>
        </w:tc>
        <w:tc>
          <w:tcPr>
            <w:tcW w:w="2174" w:type="dxa"/>
            <w:hideMark/>
          </w:tcPr>
          <w:tbl>
            <w:tblPr>
              <w:tblW w:w="0" w:type="auto"/>
              <w:tblInd w:w="1353" w:type="dxa"/>
              <w:tblLayout w:type="fixed"/>
              <w:tblLook w:val="04A0"/>
            </w:tblPr>
            <w:tblGrid>
              <w:gridCol w:w="785"/>
            </w:tblGrid>
            <w:tr w:rsidR="00BF53E3" w:rsidTr="00B766E9">
              <w:trPr>
                <w:trHeight w:val="155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3E3" w:rsidRDefault="00BF53E3" w:rsidP="00120B3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</w:t>
                  </w:r>
                </w:p>
              </w:tc>
            </w:tr>
          </w:tbl>
          <w:p w:rsidR="00BF53E3" w:rsidRDefault="00BF53E3" w:rsidP="00120B3E">
            <w:pPr>
              <w:jc w:val="center"/>
              <w:cnfStyle w:val="100000000000"/>
              <w:rPr>
                <w:b w:val="0"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36" w:type="dxa"/>
          </w:tcPr>
          <w:p w:rsidR="00BF53E3" w:rsidRDefault="00BF53E3" w:rsidP="00120B3E">
            <w:pPr>
              <w:jc w:val="right"/>
              <w:cnfStyle w:val="100000000000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</w:tr>
      <w:tr w:rsidR="006F7CFD" w:rsidTr="002F172A">
        <w:trPr>
          <w:cnfStyle w:val="000000100000"/>
          <w:trHeight w:val="602"/>
        </w:trPr>
        <w:tc>
          <w:tcPr>
            <w:cnfStyle w:val="001000000000"/>
            <w:tcW w:w="236" w:type="dxa"/>
          </w:tcPr>
          <w:p w:rsidR="00B766E9" w:rsidRDefault="00B766E9" w:rsidP="00120B3E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04"/>
            </w:tblGrid>
            <w:tr w:rsidR="00B766E9" w:rsidTr="00B766E9">
              <w:trPr>
                <w:trHeight w:val="212"/>
              </w:trPr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66E9" w:rsidRDefault="00B766E9" w:rsidP="00120B3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766E9" w:rsidRDefault="00B766E9" w:rsidP="00120B3E">
            <w:pPr>
              <w:jc w:val="center"/>
              <w:cnfStyle w:val="00000010000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PERT</w:t>
            </w:r>
          </w:p>
        </w:tc>
        <w:tc>
          <w:tcPr>
            <w:tcW w:w="1758" w:type="dxa"/>
            <w:hideMark/>
          </w:tcPr>
          <w:p w:rsidR="00B766E9" w:rsidRDefault="00B766E9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</w:p>
          <w:p w:rsidR="00B766E9" w:rsidRDefault="00E71B20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50-98</w:t>
            </w:r>
          </w:p>
        </w:tc>
        <w:tc>
          <w:tcPr>
            <w:tcW w:w="3257" w:type="dxa"/>
            <w:hideMark/>
          </w:tcPr>
          <w:p w:rsidR="00B766E9" w:rsidRDefault="00B766E9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</w:p>
          <w:p w:rsidR="00B766E9" w:rsidRDefault="00B766E9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</w:t>
            </w:r>
            <w:r w:rsidR="00033BAC">
              <w:rPr>
                <w:snapToGrid w:val="0"/>
                <w:color w:val="000000"/>
              </w:rPr>
              <w:t>+</w:t>
            </w:r>
          </w:p>
        </w:tc>
        <w:tc>
          <w:tcPr>
            <w:tcW w:w="2174" w:type="dxa"/>
            <w:hideMark/>
          </w:tcPr>
          <w:p w:rsidR="00B766E9" w:rsidRDefault="00B766E9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</w:p>
          <w:p w:rsidR="00B766E9" w:rsidRDefault="00B766E9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36" w:type="dxa"/>
          </w:tcPr>
          <w:p w:rsidR="00B766E9" w:rsidRDefault="00B766E9" w:rsidP="00120B3E">
            <w:pPr>
              <w:jc w:val="right"/>
              <w:cnfStyle w:val="000000100000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</w:tr>
      <w:tr w:rsidR="00B766E9" w:rsidTr="002F172A">
        <w:trPr>
          <w:trHeight w:val="303"/>
        </w:trPr>
        <w:tc>
          <w:tcPr>
            <w:cnfStyle w:val="001000000000"/>
            <w:tcW w:w="236" w:type="dxa"/>
          </w:tcPr>
          <w:p w:rsidR="00B766E9" w:rsidRDefault="00B766E9" w:rsidP="00120B3E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hideMark/>
          </w:tcPr>
          <w:p w:rsidR="00B766E9" w:rsidRDefault="00B766E9" w:rsidP="00120B3E">
            <w:pPr>
              <w:jc w:val="center"/>
              <w:cnfStyle w:val="000000000000"/>
              <w:rPr>
                <w:b/>
                <w:snapToGrid w:val="0"/>
                <w:color w:val="000000"/>
              </w:rPr>
            </w:pPr>
          </w:p>
        </w:tc>
        <w:tc>
          <w:tcPr>
            <w:tcW w:w="1758" w:type="dxa"/>
            <w:hideMark/>
          </w:tcPr>
          <w:p w:rsidR="00B766E9" w:rsidRDefault="00B766E9" w:rsidP="00120B3E">
            <w:pPr>
              <w:cnfStyle w:val="000000000000"/>
              <w:rPr>
                <w:snapToGrid w:val="0"/>
                <w:color w:val="000000"/>
              </w:rPr>
            </w:pPr>
          </w:p>
        </w:tc>
        <w:tc>
          <w:tcPr>
            <w:tcW w:w="3257" w:type="dxa"/>
            <w:hideMark/>
          </w:tcPr>
          <w:p w:rsidR="00B766E9" w:rsidRDefault="00B766E9" w:rsidP="00120B3E">
            <w:pPr>
              <w:cnfStyle w:val="000000000000"/>
              <w:rPr>
                <w:snapToGrid w:val="0"/>
                <w:color w:val="000000"/>
              </w:rPr>
            </w:pPr>
          </w:p>
        </w:tc>
        <w:tc>
          <w:tcPr>
            <w:tcW w:w="2174" w:type="dxa"/>
            <w:hideMark/>
          </w:tcPr>
          <w:p w:rsidR="00B766E9" w:rsidRDefault="00B766E9" w:rsidP="00120B3E">
            <w:pPr>
              <w:cnfStyle w:val="000000000000"/>
              <w:rPr>
                <w:snapToGrid w:val="0"/>
                <w:color w:val="000000"/>
              </w:rPr>
            </w:pPr>
          </w:p>
        </w:tc>
        <w:tc>
          <w:tcPr>
            <w:tcW w:w="236" w:type="dxa"/>
          </w:tcPr>
          <w:p w:rsidR="00B766E9" w:rsidRDefault="00B766E9" w:rsidP="00120B3E">
            <w:pPr>
              <w:jc w:val="right"/>
              <w:cnfStyle w:val="000000000000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</w:tr>
      <w:tr w:rsidR="006F7CFD" w:rsidTr="002F172A">
        <w:trPr>
          <w:cnfStyle w:val="000000100000"/>
          <w:trHeight w:val="226"/>
        </w:trPr>
        <w:tc>
          <w:tcPr>
            <w:cnfStyle w:val="001000000000"/>
            <w:tcW w:w="236" w:type="dxa"/>
          </w:tcPr>
          <w:p w:rsidR="00B766E9" w:rsidRDefault="00B766E9" w:rsidP="00120B3E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hideMark/>
          </w:tcPr>
          <w:p w:rsidR="00B766E9" w:rsidRDefault="00B766E9" w:rsidP="00120B3E">
            <w:pPr>
              <w:jc w:val="center"/>
              <w:cnfStyle w:val="00000010000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SAT</w:t>
            </w:r>
          </w:p>
        </w:tc>
        <w:tc>
          <w:tcPr>
            <w:tcW w:w="1758" w:type="dxa"/>
            <w:hideMark/>
          </w:tcPr>
          <w:p w:rsidR="00B766E9" w:rsidRDefault="00E71B20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200-439</w:t>
            </w:r>
          </w:p>
        </w:tc>
        <w:tc>
          <w:tcPr>
            <w:tcW w:w="3257" w:type="dxa"/>
            <w:hideMark/>
          </w:tcPr>
          <w:p w:rsidR="00B766E9" w:rsidRDefault="00B766E9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</w:t>
            </w:r>
            <w:r w:rsidR="00033BAC">
              <w:rPr>
                <w:snapToGrid w:val="0"/>
                <w:color w:val="000000"/>
              </w:rPr>
              <w:t>+</w:t>
            </w:r>
          </w:p>
        </w:tc>
        <w:tc>
          <w:tcPr>
            <w:tcW w:w="2174" w:type="dxa"/>
            <w:hideMark/>
          </w:tcPr>
          <w:p w:rsidR="00B766E9" w:rsidRDefault="00B766E9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36" w:type="dxa"/>
          </w:tcPr>
          <w:p w:rsidR="00B766E9" w:rsidRDefault="00B766E9" w:rsidP="00120B3E">
            <w:pPr>
              <w:jc w:val="right"/>
              <w:cnfStyle w:val="000000100000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</w:tr>
      <w:tr w:rsidR="00B766E9" w:rsidTr="002F172A">
        <w:trPr>
          <w:trHeight w:val="303"/>
        </w:trPr>
        <w:tc>
          <w:tcPr>
            <w:cnfStyle w:val="001000000000"/>
            <w:tcW w:w="236" w:type="dxa"/>
          </w:tcPr>
          <w:p w:rsidR="00B766E9" w:rsidRDefault="00B766E9" w:rsidP="00120B3E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hideMark/>
          </w:tcPr>
          <w:p w:rsidR="00B766E9" w:rsidRDefault="00B766E9" w:rsidP="00120B3E">
            <w:pPr>
              <w:jc w:val="center"/>
              <w:cnfStyle w:val="000000000000"/>
              <w:rPr>
                <w:b/>
                <w:snapToGrid w:val="0"/>
                <w:color w:val="000000"/>
              </w:rPr>
            </w:pPr>
          </w:p>
        </w:tc>
        <w:tc>
          <w:tcPr>
            <w:tcW w:w="1758" w:type="dxa"/>
            <w:hideMark/>
          </w:tcPr>
          <w:p w:rsidR="00B766E9" w:rsidRDefault="00B766E9" w:rsidP="00120B3E">
            <w:pPr>
              <w:jc w:val="center"/>
              <w:cnfStyle w:val="000000000000"/>
              <w:rPr>
                <w:snapToGrid w:val="0"/>
                <w:color w:val="000000"/>
              </w:rPr>
            </w:pPr>
          </w:p>
        </w:tc>
        <w:tc>
          <w:tcPr>
            <w:tcW w:w="3257" w:type="dxa"/>
            <w:hideMark/>
          </w:tcPr>
          <w:p w:rsidR="00B766E9" w:rsidRDefault="00B766E9" w:rsidP="00120B3E">
            <w:pPr>
              <w:jc w:val="center"/>
              <w:cnfStyle w:val="000000000000"/>
              <w:rPr>
                <w:snapToGrid w:val="0"/>
                <w:color w:val="000000"/>
              </w:rPr>
            </w:pPr>
          </w:p>
        </w:tc>
        <w:tc>
          <w:tcPr>
            <w:tcW w:w="2174" w:type="dxa"/>
            <w:hideMark/>
          </w:tcPr>
          <w:p w:rsidR="00B766E9" w:rsidRDefault="00B766E9" w:rsidP="00120B3E">
            <w:pPr>
              <w:jc w:val="center"/>
              <w:cnfStyle w:val="000000000000"/>
              <w:rPr>
                <w:snapToGrid w:val="0"/>
                <w:color w:val="000000"/>
              </w:rPr>
            </w:pPr>
          </w:p>
        </w:tc>
        <w:tc>
          <w:tcPr>
            <w:tcW w:w="236" w:type="dxa"/>
          </w:tcPr>
          <w:p w:rsidR="00B766E9" w:rsidRDefault="00B766E9" w:rsidP="00120B3E">
            <w:pPr>
              <w:jc w:val="right"/>
              <w:cnfStyle w:val="000000000000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</w:tr>
      <w:tr w:rsidR="006F7CFD" w:rsidTr="002F172A">
        <w:trPr>
          <w:cnfStyle w:val="000000100000"/>
          <w:trHeight w:val="72"/>
        </w:trPr>
        <w:tc>
          <w:tcPr>
            <w:cnfStyle w:val="001000000000"/>
            <w:tcW w:w="236" w:type="dxa"/>
          </w:tcPr>
          <w:p w:rsidR="00B766E9" w:rsidRDefault="00B766E9" w:rsidP="00120B3E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hideMark/>
          </w:tcPr>
          <w:p w:rsidR="00B766E9" w:rsidRDefault="00B766E9" w:rsidP="00120B3E">
            <w:pPr>
              <w:jc w:val="center"/>
              <w:cnfStyle w:val="00000010000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ACT</w:t>
            </w:r>
          </w:p>
        </w:tc>
        <w:tc>
          <w:tcPr>
            <w:tcW w:w="1758" w:type="dxa"/>
            <w:hideMark/>
          </w:tcPr>
          <w:p w:rsidR="00B766E9" w:rsidRDefault="00E71B20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0-16</w:t>
            </w:r>
          </w:p>
        </w:tc>
        <w:tc>
          <w:tcPr>
            <w:tcW w:w="3257" w:type="dxa"/>
            <w:hideMark/>
          </w:tcPr>
          <w:p w:rsidR="00B766E9" w:rsidRDefault="00B766E9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033BAC">
              <w:rPr>
                <w:snapToGrid w:val="0"/>
                <w:color w:val="000000"/>
              </w:rPr>
              <w:t>+</w:t>
            </w:r>
          </w:p>
        </w:tc>
        <w:tc>
          <w:tcPr>
            <w:tcW w:w="2174" w:type="dxa"/>
            <w:hideMark/>
          </w:tcPr>
          <w:p w:rsidR="00B766E9" w:rsidRDefault="00B766E9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36" w:type="dxa"/>
          </w:tcPr>
          <w:p w:rsidR="00B766E9" w:rsidRDefault="00B766E9" w:rsidP="00120B3E">
            <w:pPr>
              <w:jc w:val="right"/>
              <w:cnfStyle w:val="000000100000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</w:tr>
      <w:tr w:rsidR="00B766E9" w:rsidTr="002F172A">
        <w:trPr>
          <w:trHeight w:val="368"/>
        </w:trPr>
        <w:tc>
          <w:tcPr>
            <w:cnfStyle w:val="001000000000"/>
            <w:tcW w:w="236" w:type="dxa"/>
          </w:tcPr>
          <w:p w:rsidR="00B766E9" w:rsidRDefault="00B766E9" w:rsidP="00120B3E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hideMark/>
          </w:tcPr>
          <w:p w:rsidR="00B766E9" w:rsidRDefault="00B766E9" w:rsidP="00120B3E">
            <w:pPr>
              <w:jc w:val="center"/>
              <w:cnfStyle w:val="000000000000"/>
              <w:rPr>
                <w:b/>
                <w:snapToGrid w:val="0"/>
                <w:color w:val="000000"/>
              </w:rPr>
            </w:pPr>
          </w:p>
          <w:p w:rsidR="006F7CFD" w:rsidRDefault="006F7CFD" w:rsidP="00120B3E">
            <w:pPr>
              <w:jc w:val="center"/>
              <w:cnfStyle w:val="000000000000"/>
              <w:rPr>
                <w:b/>
                <w:snapToGrid w:val="0"/>
                <w:color w:val="000000"/>
              </w:rPr>
            </w:pPr>
          </w:p>
        </w:tc>
        <w:tc>
          <w:tcPr>
            <w:tcW w:w="1758" w:type="dxa"/>
            <w:hideMark/>
          </w:tcPr>
          <w:p w:rsidR="00B766E9" w:rsidRDefault="00B766E9" w:rsidP="00120B3E">
            <w:pPr>
              <w:jc w:val="center"/>
              <w:cnfStyle w:val="000000000000"/>
              <w:rPr>
                <w:snapToGrid w:val="0"/>
                <w:color w:val="000000"/>
              </w:rPr>
            </w:pPr>
          </w:p>
        </w:tc>
        <w:tc>
          <w:tcPr>
            <w:tcW w:w="3257" w:type="dxa"/>
            <w:hideMark/>
          </w:tcPr>
          <w:p w:rsidR="00B766E9" w:rsidRDefault="00B766E9" w:rsidP="00120B3E">
            <w:pPr>
              <w:jc w:val="center"/>
              <w:cnfStyle w:val="000000000000"/>
              <w:rPr>
                <w:snapToGrid w:val="0"/>
                <w:color w:val="000000"/>
              </w:rPr>
            </w:pPr>
          </w:p>
        </w:tc>
        <w:tc>
          <w:tcPr>
            <w:tcW w:w="2174" w:type="dxa"/>
            <w:hideMark/>
          </w:tcPr>
          <w:p w:rsidR="00B766E9" w:rsidRDefault="00B766E9" w:rsidP="00120B3E">
            <w:pPr>
              <w:jc w:val="center"/>
              <w:cnfStyle w:val="000000000000"/>
              <w:rPr>
                <w:snapToGrid w:val="0"/>
                <w:color w:val="000000"/>
              </w:rPr>
            </w:pPr>
          </w:p>
        </w:tc>
        <w:tc>
          <w:tcPr>
            <w:tcW w:w="236" w:type="dxa"/>
          </w:tcPr>
          <w:p w:rsidR="00B766E9" w:rsidRDefault="00B766E9" w:rsidP="00120B3E">
            <w:pPr>
              <w:jc w:val="right"/>
              <w:cnfStyle w:val="000000000000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</w:tr>
      <w:tr w:rsidR="006F7CFD" w:rsidTr="002F172A">
        <w:trPr>
          <w:cnfStyle w:val="000000100000"/>
          <w:trHeight w:val="49"/>
        </w:trPr>
        <w:tc>
          <w:tcPr>
            <w:cnfStyle w:val="001000000000"/>
            <w:tcW w:w="236" w:type="dxa"/>
          </w:tcPr>
          <w:p w:rsidR="006F7CFD" w:rsidRDefault="006F7CFD" w:rsidP="00120B3E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hideMark/>
          </w:tcPr>
          <w:p w:rsidR="006F7CFD" w:rsidRDefault="006F7CFD" w:rsidP="00120B3E">
            <w:pPr>
              <w:jc w:val="center"/>
              <w:cnfStyle w:val="00000010000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CPT</w:t>
            </w:r>
          </w:p>
        </w:tc>
        <w:tc>
          <w:tcPr>
            <w:tcW w:w="1758" w:type="dxa"/>
            <w:hideMark/>
          </w:tcPr>
          <w:p w:rsidR="006F7CFD" w:rsidRDefault="00E71B20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0-82</w:t>
            </w:r>
          </w:p>
        </w:tc>
        <w:tc>
          <w:tcPr>
            <w:tcW w:w="3257" w:type="dxa"/>
            <w:hideMark/>
          </w:tcPr>
          <w:p w:rsidR="006F7CFD" w:rsidRDefault="00CC028D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  <w:r w:rsidR="00033BAC">
              <w:rPr>
                <w:snapToGrid w:val="0"/>
                <w:color w:val="000000"/>
              </w:rPr>
              <w:t>+</w:t>
            </w:r>
          </w:p>
        </w:tc>
        <w:tc>
          <w:tcPr>
            <w:tcW w:w="2174" w:type="dxa"/>
            <w:hideMark/>
          </w:tcPr>
          <w:p w:rsidR="006F7CFD" w:rsidRDefault="006F7CFD" w:rsidP="00120B3E">
            <w:pPr>
              <w:jc w:val="center"/>
              <w:cnfStyle w:val="000000100000"/>
              <w:rPr>
                <w:snapToGrid w:val="0"/>
                <w:color w:val="000000"/>
              </w:rPr>
            </w:pPr>
          </w:p>
        </w:tc>
        <w:tc>
          <w:tcPr>
            <w:tcW w:w="236" w:type="dxa"/>
          </w:tcPr>
          <w:p w:rsidR="006F7CFD" w:rsidRDefault="006F7CFD" w:rsidP="00120B3E">
            <w:pPr>
              <w:jc w:val="right"/>
              <w:cnfStyle w:val="000000100000"/>
              <w:rPr>
                <w:rFonts w:ascii="Arial Narrow" w:hAnsi="Arial Narrow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2A3A3F" w:rsidRPr="002A3A3F" w:rsidRDefault="002A3A3F" w:rsidP="002A3A3F">
      <w:pPr>
        <w:rPr>
          <w:sz w:val="28"/>
          <w:szCs w:val="28"/>
        </w:rPr>
      </w:pPr>
    </w:p>
    <w:p w:rsidR="002A3A3F" w:rsidRPr="002A3A3F" w:rsidRDefault="002A3A3F" w:rsidP="002A3A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A3A3F">
        <w:rPr>
          <w:b/>
          <w:bCs/>
          <w:sz w:val="28"/>
          <w:szCs w:val="28"/>
        </w:rPr>
        <w:t>Complete Checklist</w:t>
      </w:r>
      <w:r w:rsidRPr="002A3A3F">
        <w:rPr>
          <w:sz w:val="28"/>
          <w:szCs w:val="28"/>
        </w:rPr>
        <w:t xml:space="preserve"> – </w:t>
      </w:r>
      <w:r w:rsidRPr="00443F3C">
        <w:rPr>
          <w:b/>
          <w:sz w:val="28"/>
          <w:szCs w:val="28"/>
        </w:rPr>
        <w:t>Scholarships</w:t>
      </w:r>
      <w:r w:rsidRPr="002A3A3F">
        <w:rPr>
          <w:sz w:val="28"/>
          <w:szCs w:val="28"/>
        </w:rPr>
        <w:t xml:space="preserve"> available in inc</w:t>
      </w:r>
      <w:r>
        <w:rPr>
          <w:sz w:val="28"/>
          <w:szCs w:val="28"/>
        </w:rPr>
        <w:t>rements but requires commitment (</w:t>
      </w:r>
      <w:r w:rsidR="00B766E9">
        <w:rPr>
          <w:b/>
          <w:sz w:val="28"/>
          <w:szCs w:val="28"/>
          <w:u w:val="single"/>
        </w:rPr>
        <w:t xml:space="preserve">See Steps </w:t>
      </w:r>
      <w:r w:rsidRPr="002A3A3F">
        <w:rPr>
          <w:b/>
          <w:sz w:val="28"/>
          <w:szCs w:val="28"/>
          <w:u w:val="single"/>
        </w:rPr>
        <w:t>Brochure</w:t>
      </w:r>
      <w:r>
        <w:rPr>
          <w:sz w:val="28"/>
          <w:szCs w:val="28"/>
        </w:rPr>
        <w:t>)</w:t>
      </w:r>
    </w:p>
    <w:p w:rsidR="002A3A3F" w:rsidRPr="002A3A3F" w:rsidRDefault="002A3A3F" w:rsidP="002A3A3F">
      <w:pPr>
        <w:rPr>
          <w:sz w:val="28"/>
          <w:szCs w:val="28"/>
        </w:rPr>
      </w:pPr>
    </w:p>
    <w:p w:rsidR="002A3A3F" w:rsidRDefault="002A3A3F" w:rsidP="002A3A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A3A3F">
        <w:rPr>
          <w:b/>
          <w:bCs/>
          <w:sz w:val="28"/>
          <w:szCs w:val="28"/>
          <w:u w:val="single"/>
        </w:rPr>
        <w:t xml:space="preserve">Commitment </w:t>
      </w:r>
      <w:r w:rsidRPr="002A3A3F">
        <w:rPr>
          <w:b/>
          <w:bCs/>
          <w:sz w:val="28"/>
          <w:szCs w:val="28"/>
        </w:rPr>
        <w:t>reaps benefits</w:t>
      </w:r>
      <w:r w:rsidRPr="002A3A3F">
        <w:rPr>
          <w:sz w:val="28"/>
          <w:szCs w:val="28"/>
        </w:rPr>
        <w:t xml:space="preserve"> = Scholarships/College Credits/Guaranteed Schedule</w:t>
      </w:r>
      <w:r w:rsidR="002F172A">
        <w:rPr>
          <w:sz w:val="28"/>
          <w:szCs w:val="28"/>
        </w:rPr>
        <w:t xml:space="preserve">. </w:t>
      </w:r>
      <w:r w:rsidR="002F172A" w:rsidRPr="008C0164">
        <w:rPr>
          <w:sz w:val="28"/>
          <w:szCs w:val="28"/>
          <w:highlight w:val="yellow"/>
          <w:u w:val="single"/>
        </w:rPr>
        <w:t>Scholarship funds are also available for summer tuition!!</w:t>
      </w:r>
      <w:r w:rsidR="008E4F9F">
        <w:rPr>
          <w:sz w:val="28"/>
          <w:szCs w:val="28"/>
          <w:u w:val="single"/>
        </w:rPr>
        <w:t xml:space="preserve"> Students must complete the FAFSA for 2011/</w:t>
      </w:r>
      <w:proofErr w:type="gramStart"/>
      <w:r w:rsidR="008E4F9F">
        <w:rPr>
          <w:sz w:val="28"/>
          <w:szCs w:val="28"/>
          <w:u w:val="single"/>
        </w:rPr>
        <w:t>2012  AND</w:t>
      </w:r>
      <w:proofErr w:type="gramEnd"/>
      <w:r w:rsidR="008E4F9F">
        <w:rPr>
          <w:sz w:val="28"/>
          <w:szCs w:val="28"/>
          <w:u w:val="single"/>
        </w:rPr>
        <w:t xml:space="preserve"> 2012/2013 for summer and fall scholarship</w:t>
      </w:r>
      <w:r w:rsidR="009C4FFF">
        <w:rPr>
          <w:sz w:val="28"/>
          <w:szCs w:val="28"/>
          <w:u w:val="single"/>
        </w:rPr>
        <w:t>s.</w:t>
      </w:r>
    </w:p>
    <w:p w:rsidR="002A3A3F" w:rsidRPr="002A3A3F" w:rsidRDefault="002A3A3F" w:rsidP="002A3A3F">
      <w:pPr>
        <w:pStyle w:val="ListParagraph"/>
        <w:rPr>
          <w:sz w:val="28"/>
          <w:szCs w:val="28"/>
        </w:rPr>
      </w:pPr>
    </w:p>
    <w:p w:rsidR="002A3A3F" w:rsidRPr="002A3A3F" w:rsidRDefault="002F172A" w:rsidP="002A3A3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Student must attend an Advisement and Registration session AND an Orientation.</w:t>
      </w:r>
      <w:r w:rsidRPr="00443F3C">
        <w:rPr>
          <w:b/>
          <w:sz w:val="28"/>
          <w:szCs w:val="28"/>
        </w:rPr>
        <w:t xml:space="preserve"> </w:t>
      </w:r>
      <w:r w:rsidR="00443F3C" w:rsidRPr="00443F3C">
        <w:rPr>
          <w:b/>
          <w:sz w:val="28"/>
          <w:szCs w:val="28"/>
        </w:rPr>
        <w:t>Advisement and Registration session</w:t>
      </w:r>
      <w:r w:rsidR="008C0164">
        <w:rPr>
          <w:b/>
          <w:sz w:val="28"/>
          <w:szCs w:val="28"/>
        </w:rPr>
        <w:t>s</w:t>
      </w:r>
      <w:r w:rsidR="00630EF5">
        <w:rPr>
          <w:b/>
          <w:sz w:val="28"/>
          <w:szCs w:val="28"/>
        </w:rPr>
        <w:t xml:space="preserve"> are scheduled at 4:30 and 6 pm. You can choose one.</w:t>
      </w:r>
      <w:r w:rsidR="00443F3C" w:rsidRPr="00443F3C">
        <w:rPr>
          <w:b/>
          <w:sz w:val="28"/>
          <w:szCs w:val="28"/>
        </w:rPr>
        <w:t xml:space="preserve"> The Orientation i</w:t>
      </w:r>
      <w:r w:rsidR="00920090">
        <w:rPr>
          <w:b/>
          <w:sz w:val="28"/>
          <w:szCs w:val="28"/>
        </w:rPr>
        <w:t>s currently scheduled for June 22</w:t>
      </w:r>
      <w:r w:rsidR="00443F3C" w:rsidRPr="00443F3C">
        <w:rPr>
          <w:b/>
          <w:sz w:val="28"/>
          <w:szCs w:val="28"/>
        </w:rPr>
        <w:t>.</w:t>
      </w:r>
    </w:p>
    <w:p w:rsidR="002A3A3F" w:rsidRPr="002A3A3F" w:rsidRDefault="002A3A3F" w:rsidP="002A3A3F">
      <w:pPr>
        <w:rPr>
          <w:sz w:val="28"/>
          <w:szCs w:val="28"/>
        </w:rPr>
      </w:pPr>
    </w:p>
    <w:p w:rsidR="002A3A3F" w:rsidRDefault="002A3A3F" w:rsidP="00F05FEE">
      <w:pPr>
        <w:jc w:val="center"/>
        <w:rPr>
          <w:b/>
          <w:bCs/>
          <w:i/>
          <w:sz w:val="40"/>
          <w:szCs w:val="40"/>
        </w:rPr>
      </w:pPr>
      <w:r w:rsidRPr="009C4FFF">
        <w:rPr>
          <w:b/>
          <w:bCs/>
          <w:sz w:val="40"/>
          <w:szCs w:val="40"/>
          <w:u w:val="single"/>
        </w:rPr>
        <w:lastRenderedPageBreak/>
        <w:t xml:space="preserve">Time </w:t>
      </w:r>
      <w:r w:rsidR="00B602BE">
        <w:rPr>
          <w:b/>
          <w:bCs/>
          <w:sz w:val="40"/>
          <w:szCs w:val="40"/>
          <w:u w:val="single"/>
        </w:rPr>
        <w:t>Commit</w:t>
      </w:r>
      <w:r w:rsidR="00AD33AB">
        <w:rPr>
          <w:b/>
          <w:bCs/>
          <w:sz w:val="40"/>
          <w:szCs w:val="40"/>
          <w:u w:val="single"/>
        </w:rPr>
        <w:t>ment</w:t>
      </w:r>
      <w:r w:rsidRPr="009C4FFF">
        <w:rPr>
          <w:b/>
          <w:bCs/>
          <w:sz w:val="40"/>
          <w:szCs w:val="40"/>
        </w:rPr>
        <w:t xml:space="preserve"> - </w:t>
      </w:r>
      <w:r w:rsidRPr="009C4FFF">
        <w:rPr>
          <w:b/>
          <w:bCs/>
          <w:i/>
          <w:sz w:val="40"/>
          <w:szCs w:val="40"/>
        </w:rPr>
        <w:t>June 25</w:t>
      </w:r>
      <w:r w:rsidRPr="009C4FFF">
        <w:rPr>
          <w:b/>
          <w:bCs/>
          <w:i/>
          <w:sz w:val="40"/>
          <w:szCs w:val="40"/>
          <w:vertAlign w:val="superscript"/>
        </w:rPr>
        <w:t>th</w:t>
      </w:r>
      <w:r w:rsidRPr="009C4FFF">
        <w:rPr>
          <w:b/>
          <w:bCs/>
          <w:i/>
          <w:sz w:val="40"/>
          <w:szCs w:val="40"/>
        </w:rPr>
        <w:t xml:space="preserve"> to August 3</w:t>
      </w:r>
      <w:r w:rsidRPr="00B942BF">
        <w:rPr>
          <w:b/>
          <w:bCs/>
          <w:i/>
          <w:sz w:val="40"/>
          <w:szCs w:val="40"/>
          <w:vertAlign w:val="superscript"/>
        </w:rPr>
        <w:t>rd</w:t>
      </w:r>
    </w:p>
    <w:p w:rsidR="00B942BF" w:rsidRPr="00B942BF" w:rsidRDefault="00B942BF" w:rsidP="00F05FE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time commitment is </w:t>
      </w:r>
      <w:r w:rsidR="00AD33AB">
        <w:rPr>
          <w:bCs/>
          <w:sz w:val="24"/>
          <w:szCs w:val="24"/>
        </w:rPr>
        <w:t xml:space="preserve">intensive and </w:t>
      </w:r>
      <w:r>
        <w:rPr>
          <w:bCs/>
          <w:sz w:val="24"/>
          <w:szCs w:val="24"/>
        </w:rPr>
        <w:t xml:space="preserve">crucial to success in the BCAE. Students are REQUIRED to </w:t>
      </w:r>
      <w:r w:rsidR="00AD33AB">
        <w:rPr>
          <w:bCs/>
          <w:sz w:val="24"/>
          <w:szCs w:val="24"/>
        </w:rPr>
        <w:t>be in class each scheduled day. Please inform students of the time commitments listed below.</w:t>
      </w:r>
    </w:p>
    <w:p w:rsidR="002A3A3F" w:rsidRPr="002A3A3F" w:rsidRDefault="002A3A3F" w:rsidP="002A3A3F">
      <w:pPr>
        <w:rPr>
          <w:b/>
          <w:bCs/>
          <w:sz w:val="28"/>
          <w:szCs w:val="28"/>
        </w:rPr>
      </w:pPr>
      <w:r w:rsidRPr="00443F3C">
        <w:rPr>
          <w:b/>
          <w:bCs/>
          <w:sz w:val="28"/>
          <w:szCs w:val="28"/>
          <w:u w:val="single"/>
        </w:rPr>
        <w:t>Summer Schedule</w:t>
      </w:r>
      <w:r w:rsidRPr="002A3A3F">
        <w:rPr>
          <w:b/>
          <w:bCs/>
          <w:sz w:val="28"/>
          <w:szCs w:val="28"/>
        </w:rPr>
        <w:t xml:space="preserve"> (6 credits)</w:t>
      </w:r>
    </w:p>
    <w:p w:rsidR="002A3A3F" w:rsidRPr="002A3A3F" w:rsidRDefault="002A3A3F" w:rsidP="002A3A3F">
      <w:pPr>
        <w:rPr>
          <w:sz w:val="28"/>
          <w:szCs w:val="28"/>
        </w:rPr>
      </w:pPr>
    </w:p>
    <w:p w:rsidR="002A3A3F" w:rsidRPr="002A3A3F" w:rsidRDefault="002A3A3F" w:rsidP="002A3A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A3F">
        <w:rPr>
          <w:b/>
          <w:bCs/>
          <w:sz w:val="28"/>
          <w:szCs w:val="28"/>
        </w:rPr>
        <w:t>SLS 1001</w:t>
      </w:r>
      <w:r w:rsidRPr="002A3A3F">
        <w:rPr>
          <w:sz w:val="28"/>
          <w:szCs w:val="28"/>
        </w:rPr>
        <w:t xml:space="preserve"> -            </w:t>
      </w:r>
      <w:r w:rsidRPr="002A3A3F">
        <w:rPr>
          <w:b/>
          <w:sz w:val="28"/>
          <w:szCs w:val="28"/>
        </w:rPr>
        <w:t>Week 1</w:t>
      </w:r>
      <w:r w:rsidRPr="002A3A3F">
        <w:rPr>
          <w:sz w:val="28"/>
          <w:szCs w:val="28"/>
        </w:rPr>
        <w:t xml:space="preserve">- </w:t>
      </w:r>
      <w:r w:rsidR="004F538D">
        <w:rPr>
          <w:b/>
          <w:sz w:val="28"/>
          <w:szCs w:val="28"/>
        </w:rPr>
        <w:t>Monday-Thursday</w:t>
      </w:r>
      <w:r w:rsidRPr="002A3A3F">
        <w:rPr>
          <w:sz w:val="28"/>
          <w:szCs w:val="28"/>
        </w:rPr>
        <w:t xml:space="preserve"> </w:t>
      </w:r>
      <w:r w:rsidR="004F538D">
        <w:rPr>
          <w:sz w:val="28"/>
          <w:szCs w:val="28"/>
          <w:highlight w:val="yellow"/>
        </w:rPr>
        <w:t>9-5:0</w:t>
      </w:r>
      <w:r w:rsidRPr="008C0164">
        <w:rPr>
          <w:sz w:val="28"/>
          <w:szCs w:val="28"/>
          <w:highlight w:val="yellow"/>
        </w:rPr>
        <w:t>0 p.m.</w:t>
      </w:r>
      <w:r w:rsidRPr="002A3A3F">
        <w:rPr>
          <w:sz w:val="28"/>
          <w:szCs w:val="28"/>
        </w:rPr>
        <w:t xml:space="preserve">                   </w:t>
      </w:r>
    </w:p>
    <w:p w:rsidR="002A3A3F" w:rsidRDefault="002A3A3F" w:rsidP="002A3A3F">
      <w:pPr>
        <w:rPr>
          <w:sz w:val="28"/>
          <w:szCs w:val="28"/>
        </w:rPr>
      </w:pPr>
      <w:r w:rsidRPr="002A3A3F">
        <w:rPr>
          <w:sz w:val="28"/>
          <w:szCs w:val="28"/>
        </w:rPr>
        <w:t>                </w:t>
      </w:r>
      <w:r>
        <w:rPr>
          <w:sz w:val="28"/>
          <w:szCs w:val="28"/>
        </w:rPr>
        <w:t>                          </w:t>
      </w:r>
      <w:proofErr w:type="gramStart"/>
      <w:r w:rsidRPr="002A3A3F">
        <w:rPr>
          <w:b/>
          <w:sz w:val="28"/>
          <w:szCs w:val="28"/>
        </w:rPr>
        <w:t>Week 2</w:t>
      </w:r>
      <w:r w:rsidR="00392A88">
        <w:rPr>
          <w:sz w:val="28"/>
          <w:szCs w:val="28"/>
        </w:rPr>
        <w:t xml:space="preserve">- </w:t>
      </w:r>
      <w:r w:rsidR="004F538D">
        <w:rPr>
          <w:b/>
          <w:sz w:val="28"/>
          <w:szCs w:val="28"/>
        </w:rPr>
        <w:t xml:space="preserve">Monday-Friday    </w:t>
      </w:r>
      <w:r w:rsidR="004F538D">
        <w:rPr>
          <w:b/>
          <w:sz w:val="28"/>
          <w:szCs w:val="28"/>
        </w:rPr>
        <w:tab/>
      </w:r>
      <w:r w:rsidR="004F538D" w:rsidRPr="002A3A3F">
        <w:rPr>
          <w:sz w:val="28"/>
          <w:szCs w:val="28"/>
        </w:rPr>
        <w:t xml:space="preserve"> </w:t>
      </w:r>
      <w:r w:rsidR="004F538D">
        <w:rPr>
          <w:sz w:val="28"/>
          <w:szCs w:val="28"/>
          <w:highlight w:val="yellow"/>
        </w:rPr>
        <w:t>9-5:0</w:t>
      </w:r>
      <w:r w:rsidRPr="008C0164">
        <w:rPr>
          <w:sz w:val="28"/>
          <w:szCs w:val="28"/>
          <w:highlight w:val="yellow"/>
        </w:rPr>
        <w:t>0 p.m.</w:t>
      </w:r>
      <w:proofErr w:type="gramEnd"/>
      <w:r w:rsidR="004F538D">
        <w:rPr>
          <w:sz w:val="28"/>
          <w:szCs w:val="28"/>
        </w:rPr>
        <w:t xml:space="preserve">  (Wednesday off)</w:t>
      </w:r>
    </w:p>
    <w:p w:rsidR="002A3A3F" w:rsidRPr="00392A88" w:rsidRDefault="002A3A3F" w:rsidP="00392A88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392A88">
        <w:rPr>
          <w:b/>
          <w:bCs/>
          <w:sz w:val="28"/>
          <w:szCs w:val="28"/>
        </w:rPr>
        <w:t>SLS 1261</w:t>
      </w:r>
      <w:r w:rsidRPr="00392A88">
        <w:rPr>
          <w:sz w:val="28"/>
          <w:szCs w:val="28"/>
        </w:rPr>
        <w:t xml:space="preserve"> -            </w:t>
      </w:r>
      <w:r w:rsidRPr="00392A88">
        <w:rPr>
          <w:b/>
          <w:sz w:val="28"/>
          <w:szCs w:val="28"/>
        </w:rPr>
        <w:t>Week 3-6</w:t>
      </w:r>
      <w:r w:rsidRPr="00392A88">
        <w:rPr>
          <w:sz w:val="28"/>
          <w:szCs w:val="28"/>
        </w:rPr>
        <w:t xml:space="preserve"> (4 weeks) = </w:t>
      </w:r>
      <w:r w:rsidRPr="00392A88">
        <w:rPr>
          <w:b/>
          <w:sz w:val="28"/>
          <w:szCs w:val="28"/>
        </w:rPr>
        <w:t>Mon</w:t>
      </w:r>
      <w:r w:rsidR="005418F9" w:rsidRPr="00392A88">
        <w:rPr>
          <w:b/>
          <w:sz w:val="28"/>
          <w:szCs w:val="28"/>
        </w:rPr>
        <w:t xml:space="preserve"> </w:t>
      </w:r>
      <w:r w:rsidRPr="00392A88">
        <w:rPr>
          <w:b/>
          <w:sz w:val="28"/>
          <w:szCs w:val="28"/>
        </w:rPr>
        <w:t>-</w:t>
      </w:r>
      <w:r w:rsidR="005418F9" w:rsidRPr="00392A88">
        <w:rPr>
          <w:b/>
          <w:sz w:val="28"/>
          <w:szCs w:val="28"/>
        </w:rPr>
        <w:t xml:space="preserve"> </w:t>
      </w:r>
      <w:r w:rsidRPr="00392A88">
        <w:rPr>
          <w:b/>
          <w:sz w:val="28"/>
          <w:szCs w:val="28"/>
        </w:rPr>
        <w:t>Thurs</w:t>
      </w:r>
      <w:r w:rsidRPr="00392A88">
        <w:rPr>
          <w:sz w:val="28"/>
          <w:szCs w:val="28"/>
        </w:rPr>
        <w:t xml:space="preserve">. </w:t>
      </w:r>
      <w:r w:rsidRPr="008C0164">
        <w:rPr>
          <w:sz w:val="28"/>
          <w:szCs w:val="28"/>
          <w:highlight w:val="yellow"/>
        </w:rPr>
        <w:t>9-12</w:t>
      </w:r>
      <w:r w:rsidR="005418F9" w:rsidRPr="008C0164">
        <w:rPr>
          <w:sz w:val="28"/>
          <w:szCs w:val="28"/>
          <w:highlight w:val="yellow"/>
        </w:rPr>
        <w:t xml:space="preserve"> p.m.</w:t>
      </w:r>
    </w:p>
    <w:p w:rsidR="002A3A3F" w:rsidRDefault="002A3A3F" w:rsidP="002A3A3F">
      <w:pPr>
        <w:rPr>
          <w:sz w:val="28"/>
          <w:szCs w:val="28"/>
        </w:rPr>
      </w:pPr>
    </w:p>
    <w:p w:rsidR="002A3A3F" w:rsidRPr="002A3A3F" w:rsidRDefault="002A3A3F" w:rsidP="002A3A3F">
      <w:pPr>
        <w:rPr>
          <w:b/>
          <w:bCs/>
          <w:sz w:val="28"/>
          <w:szCs w:val="28"/>
          <w:u w:val="single"/>
        </w:rPr>
      </w:pPr>
      <w:r w:rsidRPr="00443F3C">
        <w:rPr>
          <w:b/>
          <w:bCs/>
          <w:sz w:val="28"/>
          <w:szCs w:val="28"/>
          <w:u w:val="single"/>
        </w:rPr>
        <w:t>Fall (</w:t>
      </w:r>
      <w:r w:rsidR="008C27F6">
        <w:rPr>
          <w:b/>
          <w:bCs/>
          <w:sz w:val="28"/>
          <w:szCs w:val="28"/>
          <w:u w:val="single"/>
        </w:rPr>
        <w:t>13/</w:t>
      </w:r>
      <w:r w:rsidRPr="00443F3C">
        <w:rPr>
          <w:b/>
          <w:bCs/>
          <w:sz w:val="28"/>
          <w:szCs w:val="28"/>
          <w:u w:val="single"/>
        </w:rPr>
        <w:t>14 credits)</w:t>
      </w:r>
    </w:p>
    <w:p w:rsidR="002A3A3F" w:rsidRPr="002A3A3F" w:rsidRDefault="002A3A3F" w:rsidP="002A3A3F">
      <w:pPr>
        <w:spacing w:line="240" w:lineRule="auto"/>
      </w:pPr>
    </w:p>
    <w:p w:rsidR="002A3A3F" w:rsidRPr="002A3A3F" w:rsidRDefault="002A3A3F" w:rsidP="002A3A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3A3F">
        <w:rPr>
          <w:b/>
          <w:bCs/>
          <w:sz w:val="28"/>
          <w:szCs w:val="28"/>
        </w:rPr>
        <w:t>SLS 1261 –</w:t>
      </w:r>
      <w:r w:rsidRPr="002A3A3F">
        <w:rPr>
          <w:sz w:val="28"/>
          <w:szCs w:val="28"/>
        </w:rPr>
        <w:t xml:space="preserve"> Continued (3 </w:t>
      </w:r>
      <w:r>
        <w:rPr>
          <w:sz w:val="28"/>
          <w:szCs w:val="28"/>
        </w:rPr>
        <w:t xml:space="preserve">college </w:t>
      </w:r>
      <w:r w:rsidRPr="002A3A3F">
        <w:rPr>
          <w:sz w:val="28"/>
          <w:szCs w:val="28"/>
        </w:rPr>
        <w:t>credits)</w:t>
      </w:r>
      <w:r w:rsidR="00915ECE">
        <w:rPr>
          <w:sz w:val="28"/>
          <w:szCs w:val="28"/>
        </w:rPr>
        <w:t xml:space="preserve"> </w:t>
      </w:r>
      <w:r w:rsidR="00915ECE">
        <w:rPr>
          <w:b/>
          <w:bCs/>
          <w:i/>
          <w:iCs/>
          <w:sz w:val="28"/>
          <w:szCs w:val="28"/>
        </w:rPr>
        <w:t xml:space="preserve">Career </w:t>
      </w:r>
      <w:r w:rsidRPr="002A3A3F">
        <w:rPr>
          <w:b/>
          <w:bCs/>
          <w:i/>
          <w:iCs/>
          <w:sz w:val="28"/>
          <w:szCs w:val="28"/>
        </w:rPr>
        <w:t>&amp; Educational Plan</w:t>
      </w:r>
      <w:r w:rsidR="00915ECE" w:rsidRPr="00915ECE">
        <w:rPr>
          <w:b/>
          <w:bCs/>
          <w:i/>
          <w:iCs/>
          <w:sz w:val="28"/>
          <w:szCs w:val="28"/>
        </w:rPr>
        <w:t>ning</w:t>
      </w:r>
    </w:p>
    <w:p w:rsidR="002A3A3F" w:rsidRPr="002A3A3F" w:rsidRDefault="002A3A3F" w:rsidP="002A3A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3A3F">
        <w:rPr>
          <w:b/>
          <w:bCs/>
          <w:sz w:val="28"/>
          <w:szCs w:val="28"/>
        </w:rPr>
        <w:t>Social Science or Humanities</w:t>
      </w:r>
      <w:r w:rsidRPr="002A3A3F">
        <w:rPr>
          <w:sz w:val="28"/>
          <w:szCs w:val="28"/>
        </w:rPr>
        <w:t xml:space="preserve"> – (3 </w:t>
      </w:r>
      <w:r>
        <w:rPr>
          <w:sz w:val="28"/>
          <w:szCs w:val="28"/>
        </w:rPr>
        <w:t xml:space="preserve">college </w:t>
      </w:r>
      <w:r w:rsidRPr="002A3A3F">
        <w:rPr>
          <w:sz w:val="28"/>
          <w:szCs w:val="28"/>
        </w:rPr>
        <w:t>credits)</w:t>
      </w:r>
    </w:p>
    <w:p w:rsidR="002A3A3F" w:rsidRDefault="002A3A3F" w:rsidP="002A3A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3A3F">
        <w:rPr>
          <w:b/>
          <w:bCs/>
          <w:sz w:val="28"/>
          <w:szCs w:val="28"/>
        </w:rPr>
        <w:t>ENC XXXX and REA 0017</w:t>
      </w:r>
      <w:r w:rsidRPr="002A3A3F">
        <w:rPr>
          <w:sz w:val="28"/>
          <w:szCs w:val="28"/>
        </w:rPr>
        <w:t xml:space="preserve"> (4 credits </w:t>
      </w:r>
      <w:r w:rsidR="008C27F6">
        <w:rPr>
          <w:sz w:val="28"/>
          <w:szCs w:val="28"/>
        </w:rPr>
        <w:t>reading,  3 or 4 credits English</w:t>
      </w:r>
      <w:r w:rsidR="006619DC">
        <w:rPr>
          <w:sz w:val="28"/>
          <w:szCs w:val="28"/>
        </w:rPr>
        <w:t xml:space="preserve"> = 7/8</w:t>
      </w:r>
      <w:r>
        <w:rPr>
          <w:sz w:val="28"/>
          <w:szCs w:val="28"/>
        </w:rPr>
        <w:t xml:space="preserve"> credit hours</w:t>
      </w:r>
      <w:r w:rsidRPr="002A3A3F">
        <w:rPr>
          <w:sz w:val="28"/>
          <w:szCs w:val="28"/>
        </w:rPr>
        <w:t>)</w:t>
      </w:r>
    </w:p>
    <w:p w:rsidR="00B3343D" w:rsidRDefault="00B3343D" w:rsidP="00B3343D">
      <w:pPr>
        <w:rPr>
          <w:sz w:val="28"/>
          <w:szCs w:val="28"/>
        </w:rPr>
      </w:pPr>
    </w:p>
    <w:p w:rsidR="00B3343D" w:rsidRPr="00B3343D" w:rsidRDefault="00B3343D" w:rsidP="00B3343D">
      <w:pPr>
        <w:rPr>
          <w:sz w:val="28"/>
          <w:szCs w:val="28"/>
        </w:rPr>
      </w:pPr>
      <w:r w:rsidRPr="00B3343D">
        <w:rPr>
          <w:sz w:val="28"/>
          <w:szCs w:val="28"/>
        </w:rPr>
        <w:t xml:space="preserve">If a student works during the hours and days (dates) listed above, we will write a letter to their employer requesting support for </w:t>
      </w:r>
      <w:r w:rsidR="008A3A70">
        <w:rPr>
          <w:sz w:val="28"/>
          <w:szCs w:val="28"/>
        </w:rPr>
        <w:t>their</w:t>
      </w:r>
      <w:r w:rsidRPr="00B3343D">
        <w:rPr>
          <w:sz w:val="28"/>
          <w:szCs w:val="28"/>
        </w:rPr>
        <w:t xml:space="preserve"> participation in the program.</w:t>
      </w:r>
    </w:p>
    <w:p w:rsidR="00B3343D" w:rsidRDefault="00B3343D" w:rsidP="000C0504">
      <w:pPr>
        <w:rPr>
          <w:sz w:val="28"/>
          <w:szCs w:val="28"/>
        </w:rPr>
      </w:pPr>
    </w:p>
    <w:p w:rsidR="000C0504" w:rsidRPr="000C0504" w:rsidRDefault="000C0504" w:rsidP="000C0504">
      <w:pPr>
        <w:rPr>
          <w:sz w:val="28"/>
          <w:szCs w:val="28"/>
        </w:rPr>
      </w:pPr>
      <w:r>
        <w:rPr>
          <w:sz w:val="28"/>
          <w:szCs w:val="28"/>
        </w:rPr>
        <w:t>For further information please feel free to contact any of the following:</w:t>
      </w:r>
    </w:p>
    <w:p w:rsidR="003310D7" w:rsidRPr="003310D7" w:rsidRDefault="003310D7" w:rsidP="003310D7">
      <w:pPr>
        <w:spacing w:after="0"/>
        <w:rPr>
          <w:sz w:val="28"/>
          <w:szCs w:val="28"/>
        </w:rPr>
      </w:pPr>
      <w:r w:rsidRPr="003310D7">
        <w:rPr>
          <w:sz w:val="28"/>
          <w:szCs w:val="28"/>
        </w:rPr>
        <w:t xml:space="preserve">Olivia Sarson            </w:t>
      </w:r>
      <w:r w:rsidRPr="003310D7">
        <w:rPr>
          <w:sz w:val="28"/>
          <w:szCs w:val="28"/>
        </w:rPr>
        <w:tab/>
        <w:t xml:space="preserve">954.201.6254  </w:t>
      </w:r>
      <w:hyperlink r:id="rId5" w:history="1">
        <w:r w:rsidRPr="003310D7">
          <w:rPr>
            <w:sz w:val="28"/>
            <w:szCs w:val="28"/>
          </w:rPr>
          <w:t>osarson@broward.edu</w:t>
        </w:r>
      </w:hyperlink>
    </w:p>
    <w:p w:rsidR="003310D7" w:rsidRPr="003310D7" w:rsidRDefault="003310D7" w:rsidP="003310D7">
      <w:pPr>
        <w:spacing w:after="0"/>
        <w:rPr>
          <w:sz w:val="28"/>
          <w:szCs w:val="28"/>
        </w:rPr>
      </w:pPr>
      <w:r w:rsidRPr="003310D7">
        <w:rPr>
          <w:sz w:val="28"/>
          <w:szCs w:val="28"/>
        </w:rPr>
        <w:t xml:space="preserve">Sarika Sharma          </w:t>
      </w:r>
      <w:r w:rsidRPr="003310D7">
        <w:rPr>
          <w:sz w:val="28"/>
          <w:szCs w:val="28"/>
        </w:rPr>
        <w:tab/>
      </w:r>
      <w:proofErr w:type="gramStart"/>
      <w:r w:rsidRPr="003310D7">
        <w:rPr>
          <w:sz w:val="28"/>
          <w:szCs w:val="28"/>
        </w:rPr>
        <w:t xml:space="preserve">954.201.6352  </w:t>
      </w:r>
      <w:proofErr w:type="gramEnd"/>
      <w:r w:rsidR="003D48EA" w:rsidRPr="003310D7">
        <w:rPr>
          <w:sz w:val="28"/>
          <w:szCs w:val="28"/>
        </w:rPr>
        <w:fldChar w:fldCharType="begin"/>
      </w:r>
      <w:r w:rsidRPr="003310D7">
        <w:rPr>
          <w:sz w:val="28"/>
          <w:szCs w:val="28"/>
        </w:rPr>
        <w:instrText xml:space="preserve"> HYPERLINK "mailto:ssharma@broward.edu" </w:instrText>
      </w:r>
      <w:r w:rsidR="003D48EA" w:rsidRPr="003310D7">
        <w:rPr>
          <w:sz w:val="28"/>
          <w:szCs w:val="28"/>
        </w:rPr>
        <w:fldChar w:fldCharType="separate"/>
      </w:r>
      <w:r w:rsidRPr="003310D7">
        <w:rPr>
          <w:sz w:val="28"/>
          <w:szCs w:val="28"/>
        </w:rPr>
        <w:t>ssharma@broward.edu</w:t>
      </w:r>
      <w:r w:rsidR="003D48EA" w:rsidRPr="003310D7">
        <w:rPr>
          <w:sz w:val="28"/>
          <w:szCs w:val="28"/>
        </w:rPr>
        <w:fldChar w:fldCharType="end"/>
      </w:r>
    </w:p>
    <w:p w:rsidR="003310D7" w:rsidRPr="003310D7" w:rsidRDefault="003310D7" w:rsidP="003310D7">
      <w:pPr>
        <w:spacing w:after="0"/>
        <w:rPr>
          <w:sz w:val="28"/>
          <w:szCs w:val="28"/>
        </w:rPr>
      </w:pPr>
      <w:r w:rsidRPr="003310D7">
        <w:rPr>
          <w:sz w:val="28"/>
          <w:szCs w:val="28"/>
        </w:rPr>
        <w:t xml:space="preserve">Christina Montero     </w:t>
      </w:r>
      <w:r w:rsidRPr="003310D7">
        <w:rPr>
          <w:sz w:val="28"/>
          <w:szCs w:val="28"/>
        </w:rPr>
        <w:tab/>
      </w:r>
      <w:proofErr w:type="gramStart"/>
      <w:r w:rsidRPr="003310D7">
        <w:rPr>
          <w:sz w:val="28"/>
          <w:szCs w:val="28"/>
        </w:rPr>
        <w:t xml:space="preserve">954.201.6570  </w:t>
      </w:r>
      <w:proofErr w:type="gramEnd"/>
      <w:r w:rsidR="003D48EA" w:rsidRPr="003310D7">
        <w:rPr>
          <w:sz w:val="28"/>
          <w:szCs w:val="28"/>
        </w:rPr>
        <w:fldChar w:fldCharType="begin"/>
      </w:r>
      <w:r w:rsidRPr="003310D7">
        <w:rPr>
          <w:sz w:val="28"/>
          <w:szCs w:val="28"/>
        </w:rPr>
        <w:instrText xml:space="preserve"> HYPERLINK "mailto:cmontero@broward.edu" </w:instrText>
      </w:r>
      <w:r w:rsidR="003D48EA" w:rsidRPr="003310D7">
        <w:rPr>
          <w:sz w:val="28"/>
          <w:szCs w:val="28"/>
        </w:rPr>
        <w:fldChar w:fldCharType="separate"/>
      </w:r>
      <w:r w:rsidRPr="003310D7">
        <w:rPr>
          <w:sz w:val="28"/>
          <w:szCs w:val="28"/>
        </w:rPr>
        <w:t>cmontero@broward.edu</w:t>
      </w:r>
      <w:r w:rsidR="003D48EA" w:rsidRPr="003310D7">
        <w:rPr>
          <w:sz w:val="28"/>
          <w:szCs w:val="28"/>
        </w:rPr>
        <w:fldChar w:fldCharType="end"/>
      </w:r>
    </w:p>
    <w:p w:rsidR="002A3A3F" w:rsidRPr="003310D7" w:rsidRDefault="003310D7" w:rsidP="003310D7">
      <w:pPr>
        <w:rPr>
          <w:sz w:val="28"/>
          <w:szCs w:val="28"/>
        </w:rPr>
      </w:pPr>
      <w:r w:rsidRPr="003310D7">
        <w:rPr>
          <w:sz w:val="28"/>
          <w:szCs w:val="28"/>
        </w:rPr>
        <w:t>Kevin Johnson</w:t>
      </w:r>
      <w:r w:rsidRPr="003310D7">
        <w:rPr>
          <w:sz w:val="28"/>
          <w:szCs w:val="28"/>
        </w:rPr>
        <w:tab/>
      </w:r>
      <w:r w:rsidRPr="003310D7">
        <w:rPr>
          <w:sz w:val="28"/>
          <w:szCs w:val="28"/>
        </w:rPr>
        <w:tab/>
      </w:r>
      <w:proofErr w:type="gramStart"/>
      <w:r w:rsidRPr="003310D7">
        <w:rPr>
          <w:sz w:val="28"/>
          <w:szCs w:val="28"/>
        </w:rPr>
        <w:t xml:space="preserve">954.201.6961  </w:t>
      </w:r>
      <w:proofErr w:type="gramEnd"/>
      <w:hyperlink r:id="rId6" w:history="1">
        <w:r w:rsidRPr="003310D7">
          <w:rPr>
            <w:sz w:val="28"/>
            <w:szCs w:val="28"/>
          </w:rPr>
          <w:t>kjohnso4@broward.edu</w:t>
        </w:r>
      </w:hyperlink>
    </w:p>
    <w:sectPr w:rsidR="002A3A3F" w:rsidRPr="003310D7" w:rsidSect="005A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961"/>
    <w:multiLevelType w:val="hybridMultilevel"/>
    <w:tmpl w:val="2E74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E7187"/>
    <w:multiLevelType w:val="hybridMultilevel"/>
    <w:tmpl w:val="2FD8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24FE0"/>
    <w:multiLevelType w:val="hybridMultilevel"/>
    <w:tmpl w:val="F01A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D5D2D"/>
    <w:multiLevelType w:val="hybridMultilevel"/>
    <w:tmpl w:val="914A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AMO_XmlVersion" w:val="Empty"/>
  </w:docVars>
  <w:rsids>
    <w:rsidRoot w:val="002A3A3F"/>
    <w:rsid w:val="00033BAC"/>
    <w:rsid w:val="000B322B"/>
    <w:rsid w:val="000C0504"/>
    <w:rsid w:val="000E064C"/>
    <w:rsid w:val="00120B3E"/>
    <w:rsid w:val="002A3A3F"/>
    <w:rsid w:val="002F172A"/>
    <w:rsid w:val="003310D7"/>
    <w:rsid w:val="00392A88"/>
    <w:rsid w:val="003D48EA"/>
    <w:rsid w:val="00443F3C"/>
    <w:rsid w:val="004F538D"/>
    <w:rsid w:val="005418F9"/>
    <w:rsid w:val="005631C0"/>
    <w:rsid w:val="00566679"/>
    <w:rsid w:val="00597F21"/>
    <w:rsid w:val="005A6FBC"/>
    <w:rsid w:val="005C0914"/>
    <w:rsid w:val="005E2760"/>
    <w:rsid w:val="006039B1"/>
    <w:rsid w:val="00611DAC"/>
    <w:rsid w:val="00630EF5"/>
    <w:rsid w:val="006325F9"/>
    <w:rsid w:val="006619DC"/>
    <w:rsid w:val="006F7CFD"/>
    <w:rsid w:val="007C4AED"/>
    <w:rsid w:val="008A3A70"/>
    <w:rsid w:val="008C0164"/>
    <w:rsid w:val="008C27F6"/>
    <w:rsid w:val="008E4F9F"/>
    <w:rsid w:val="00915ECE"/>
    <w:rsid w:val="00920090"/>
    <w:rsid w:val="00927F0F"/>
    <w:rsid w:val="00975B4B"/>
    <w:rsid w:val="00994366"/>
    <w:rsid w:val="009C4FFF"/>
    <w:rsid w:val="00AD33AB"/>
    <w:rsid w:val="00B3343D"/>
    <w:rsid w:val="00B602BE"/>
    <w:rsid w:val="00B766E9"/>
    <w:rsid w:val="00B942BF"/>
    <w:rsid w:val="00BF27D4"/>
    <w:rsid w:val="00BF53E3"/>
    <w:rsid w:val="00CC028D"/>
    <w:rsid w:val="00D85AA9"/>
    <w:rsid w:val="00E04849"/>
    <w:rsid w:val="00E71B20"/>
    <w:rsid w:val="00E762BE"/>
    <w:rsid w:val="00E8794A"/>
    <w:rsid w:val="00F0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3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BF5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6F7C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F7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0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3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ohnso4@broward.edu" TargetMode="External"/><Relationship Id="rId5" Type="http://schemas.openxmlformats.org/officeDocument/2006/relationships/hyperlink" Target="mailto:osarson@broward.ed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3</cp:revision>
  <dcterms:created xsi:type="dcterms:W3CDTF">2012-05-17T20:00:00Z</dcterms:created>
  <dcterms:modified xsi:type="dcterms:W3CDTF">2012-05-17T20:00:00Z</dcterms:modified>
</cp:coreProperties>
</file>